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Label"/>
      </w:pPr>
      <w:r>
        <w:rPr>
          <w:caps/>
          <w:spacing w:val="20"/>
          <w:color w:val="5B6472"/>
          <w:sz w:val="16"/>
          <w:szCs w:val="16"/>
        </w:rPr>
        <w:t xml:space="preserve">Team charter</w:t>
      </w:r>
    </w:p>
    <w:p>
      <w:pPr>
        <w:pStyle w:val="Title"/>
      </w:pPr>
      <w:r>
        <w:t xml:space="preserve">Atlas project team</w:t>
      </w:r>
    </w:p>
    <w:p>
      <w:pPr>
        <w:pStyle w:val="Label"/>
      </w:pPr>
      <w:r>
        <w:rPr>
          <w:caps/>
          <w:spacing w:val="20"/>
          <w:color w:val="5B6472"/>
          <w:sz w:val="16"/>
          <w:szCs w:val="16"/>
        </w:rPr>
        <w:t xml:space="preserve">Why we exist</w:t>
      </w:r>
    </w:p>
    <w:p>
      <w:pPr>
        <w:pStyle w:val="Body"/>
      </w:pPr>
      <w:r>
        <w:rPr>
          <w:color w:val="0E1525"/>
          <w:sz w:val="24"/>
          <w:szCs w:val="24"/>
        </w:rPr>
        <w:t xml:space="preserve">Ship the Atlas rollout by the end of Q1: migrate every customer to the new platform without breaking their week. We exist so that one team owns the move from first email to final cutover, instead of five departments owning a fifth each.</w:t>
      </w:r>
    </w:p>
    <w:p>
      <w:pPr>
        <w:pStyle w:val="Label"/>
      </w:pPr>
      <w:r>
        <w:rPr>
          <w:caps/>
          <w:spacing w:val="20"/>
          <w:color w:val="5B6472"/>
          <w:sz w:val="16"/>
          <w:szCs w:val="16"/>
        </w:rPr>
        <w:t xml:space="preserve">What we value</w:t>
      </w:r>
    </w:p>
    <w:p>
      <w:pPr>
        <w:pStyle w:val="Bullet"/>
      </w:pPr>
      <w:r>
        <w:rPr>
          <w:b/>
          <w:color w:val="0E1525"/>
        </w:rPr>
        <w:t xml:space="preserve">Reliability. </w:t>
      </w:r>
      <w:r>
        <w:t xml:space="preserve">We do what we said, or renegotiate before the deadline.</w:t>
      </w:r>
    </w:p>
    <w:p>
      <w:pPr>
        <w:pStyle w:val="Bullet"/>
      </w:pPr>
      <w:r>
        <w:rPr>
          <w:b/>
          <w:color w:val="0E1525"/>
        </w:rPr>
        <w:t xml:space="preserve">Candor. </w:t>
      </w:r>
      <w:r>
        <w:t xml:space="preserve">We say the hard thing early, kindly.</w:t>
      </w:r>
    </w:p>
    <w:p>
      <w:pPr>
        <w:pStyle w:val="Bullet"/>
      </w:pPr>
      <w:r>
        <w:rPr>
          <w:b/>
          <w:color w:val="0E1525"/>
        </w:rPr>
        <w:t xml:space="preserve">Focus. </w:t>
      </w:r>
      <w:r>
        <w:t xml:space="preserve">We finish before we start.</w:t>
      </w:r>
    </w:p>
    <w:p>
      <w:pPr>
        <w:pStyle w:val="Label"/>
      </w:pPr>
      <w:r>
        <w:rPr>
          <w:caps/>
          <w:spacing w:val="20"/>
          <w:color w:val="5B6472"/>
          <w:sz w:val="16"/>
          <w:szCs w:val="16"/>
        </w:rPr>
        <w:t xml:space="preserve">How we work</w:t>
      </w:r>
    </w:p>
    <w:p>
      <w:pPr>
        <w:pStyle w:val="Bullet"/>
      </w:pPr>
      <w:r>
        <w:t xml:space="preserve">Agendas ship a day ahead, or the meeting moves</w:t>
      </w:r>
    </w:p>
    <w:p>
      <w:pPr>
        <w:pStyle w:val="Bullet"/>
      </w:pPr>
      <w:r>
        <w:t xml:space="preserve">Every decision has one named owner</w:t>
      </w:r>
    </w:p>
    <w:p>
      <w:pPr>
        <w:pStyle w:val="Bullet"/>
      </w:pPr>
      <w:r>
        <w:t xml:space="preserve">We reply within one working day, even if only to say when</w:t>
      </w:r>
    </w:p>
    <w:p>
      <w:pPr>
        <w:pStyle w:val="Bullet"/>
      </w:pPr>
      <w:r>
        <w:t xml:space="preserve">Blockers are raised the day they appear, not at the Friday review</w:t>
      </w:r>
    </w:p>
    <w:p>
      <w:pPr>
        <w:pStyle w:val="Bullet"/>
      </w:pPr>
      <w:r>
        <w:t xml:space="preserve">Once decided, we argue for it outside the room</w:t>
      </w:r>
    </w:p>
    <w:p>
      <w:pPr>
        <w:pStyle w:val="Label"/>
      </w:pPr>
      <w:r>
        <w:rPr>
          <w:caps/>
          <w:spacing w:val="20"/>
          <w:color w:val="5B6472"/>
          <w:sz w:val="16"/>
          <w:szCs w:val="16"/>
        </w:rPr>
        <w:t xml:space="preserve">Who holds what</w:t>
      </w:r>
    </w:p>
    <w:tbl>
      <w:tblPr>
        <w:tblW w:w="9600" w:type="dxa"/>
        <w:tblLayout w:type="fixed"/>
      </w:tblPr>
      <w:tblGrid>
        <w:gridCol w:w="2800"/>
        <w:gridCol w:w="6800"/>
      </w:tblGrid>
      <w:tr>
        <w:tc>
          <w:tcPr>
            <w:tcW w:w="2800" w:type="dxa"/>
            <w:tcBorders>
              <w:top w:val="nil"/>
              <w:left w:val="nil"/>
              <w:right w:val="nil"/>
              <w:bottom w:val="single" w:sz="4" w:space="0" w:color="D9DCE1"/>
            </w:tcBorders>
            <w:tcMar>
              <w:top w:w="70" w:type="dxa"/>
              <w:bottom w:w="70" w:type="dxa"/>
            </w:tcMar>
          </w:tcPr>
          <w:p>
            <w:pPr>
              <w:pStyle w:val="Cell"/>
            </w:pPr>
            <w:r>
              <w:rPr>
                <w:b/>
                <w:color w:val="0E1525"/>
              </w:rPr>
              <w:t xml:space="preserve">Project lead</w:t>
            </w:r>
          </w:p>
        </w:tc>
        <w:tc>
          <w:tcPr>
            <w:tcW w:w="6800" w:type="dxa"/>
            <w:tcBorders>
              <w:top w:val="nil"/>
              <w:left w:val="nil"/>
              <w:right w:val="nil"/>
              <w:bottom w:val="single" w:sz="4" w:space="0" w:color="D9DCE1"/>
            </w:tcBorders>
            <w:tcMar>
              <w:top w:w="70" w:type="dxa"/>
              <w:bottom w:w="70" w:type="dxa"/>
            </w:tcMar>
          </w:tcPr>
          <w:p>
            <w:pPr>
              <w:pStyle w:val="Cell"/>
            </w:pPr>
            <w:r>
              <w:t xml:space="preserve">Priorities, scope calls, and the tie-break when we stall</w:t>
            </w:r>
          </w:p>
        </w:tc>
      </w:tr>
      <w:tr>
        <w:tc>
          <w:tcPr>
            <w:tcW w:w="2800" w:type="dxa"/>
            <w:tcBorders>
              <w:top w:val="nil"/>
              <w:left w:val="nil"/>
              <w:right w:val="nil"/>
              <w:bottom w:val="single" w:sz="4" w:space="0" w:color="D9DCE1"/>
            </w:tcBorders>
            <w:tcMar>
              <w:top w:w="70" w:type="dxa"/>
              <w:bottom w:w="70" w:type="dxa"/>
            </w:tcMar>
          </w:tcPr>
          <w:p>
            <w:pPr>
              <w:pStyle w:val="Cell"/>
            </w:pPr>
            <w:r>
              <w:rPr>
                <w:b/>
                <w:color w:val="0E1525"/>
              </w:rPr>
              <w:t xml:space="preserve">Delivery owner</w:t>
            </w:r>
          </w:p>
        </w:tc>
        <w:tc>
          <w:tcPr>
            <w:tcW w:w="6800" w:type="dxa"/>
            <w:tcBorders>
              <w:top w:val="nil"/>
              <w:left w:val="nil"/>
              <w:right w:val="nil"/>
              <w:bottom w:val="single" w:sz="4" w:space="0" w:color="D9DCE1"/>
            </w:tcBorders>
            <w:tcMar>
              <w:top w:w="70" w:type="dxa"/>
              <w:bottom w:w="70" w:type="dxa"/>
            </w:tcMar>
          </w:tcPr>
          <w:p>
            <w:pPr>
              <w:pStyle w:val="Cell"/>
            </w:pPr>
            <w:r>
              <w:t xml:space="preserve">The plan, the dates, and the definition of done</w:t>
            </w:r>
          </w:p>
        </w:tc>
      </w:tr>
      <w:tr>
        <w:tc>
          <w:tcPr>
            <w:tcW w:w="2800" w:type="dxa"/>
            <w:tcBorders>
              <w:top w:val="nil"/>
              <w:left w:val="nil"/>
              <w:right w:val="nil"/>
              <w:bottom w:val="single" w:sz="4" w:space="0" w:color="D9DCE1"/>
            </w:tcBorders>
            <w:tcMar>
              <w:top w:w="70" w:type="dxa"/>
              <w:bottom w:w="70" w:type="dxa"/>
            </w:tcMar>
          </w:tcPr>
          <w:p>
            <w:pPr>
              <w:pStyle w:val="Cell"/>
            </w:pPr>
            <w:r>
              <w:rPr>
                <w:b/>
                <w:color w:val="0E1525"/>
              </w:rPr>
              <w:t xml:space="preserve">Customer voice</w:t>
            </w:r>
          </w:p>
        </w:tc>
        <w:tc>
          <w:tcPr>
            <w:tcW w:w="6800" w:type="dxa"/>
            <w:tcBorders>
              <w:top w:val="nil"/>
              <w:left w:val="nil"/>
              <w:right w:val="nil"/>
              <w:bottom w:val="single" w:sz="4" w:space="0" w:color="D9DCE1"/>
            </w:tcBorders>
            <w:tcMar>
              <w:top w:w="70" w:type="dxa"/>
              <w:bottom w:w="70" w:type="dxa"/>
            </w:tcMar>
          </w:tcPr>
          <w:p>
            <w:pPr>
              <w:pStyle w:val="Cell"/>
            </w:pPr>
            <w:r>
              <w:t xml:space="preserve">Brings real customer reactions into every review</w:t>
            </w:r>
          </w:p>
        </w:tc>
      </w:tr>
      <w:tr>
        <w:tc>
          <w:tcPr>
            <w:tcW w:w="2800" w:type="dxa"/>
            <w:tcBorders>
              <w:top w:val="nil"/>
              <w:left w:val="nil"/>
              <w:right w:val="nil"/>
              <w:bottom w:val="single" w:sz="4" w:space="0" w:color="D9DCE1"/>
            </w:tcBorders>
            <w:tcMar>
              <w:top w:w="70" w:type="dxa"/>
              <w:bottom w:w="70" w:type="dxa"/>
            </w:tcMar>
          </w:tcPr>
          <w:p>
            <w:pPr>
              <w:pStyle w:val="Cell"/>
            </w:pPr>
            <w:r>
              <w:rPr>
                <w:b/>
                <w:color w:val="0E1525"/>
              </w:rPr>
              <w:t xml:space="preserve">Risk keeper</w:t>
            </w:r>
          </w:p>
        </w:tc>
        <w:tc>
          <w:tcPr>
            <w:tcW w:w="6800" w:type="dxa"/>
            <w:tcBorders>
              <w:top w:val="nil"/>
              <w:left w:val="nil"/>
              <w:right w:val="nil"/>
              <w:bottom w:val="single" w:sz="4" w:space="0" w:color="D9DCE1"/>
            </w:tcBorders>
            <w:tcMar>
              <w:top w:w="70" w:type="dxa"/>
              <w:bottom w:w="70" w:type="dxa"/>
            </w:tcMar>
          </w:tcPr>
          <w:p>
            <w:pPr>
              <w:pStyle w:val="Cell"/>
            </w:pPr>
            <w:r>
              <w:t xml:space="preserve">Owns the risk list and says the uncomfortable thing early</w:t>
            </w:r>
          </w:p>
        </w:tc>
      </w:tr>
    </w:tbl>
    <w:p>
      <w:pPr>
        <w:pStyle w:val="Label"/>
      </w:pPr>
      <w:r>
        <w:rPr>
          <w:caps/>
          <w:spacing w:val="20"/>
          <w:color w:val="5B6472"/>
          <w:sz w:val="16"/>
          <w:szCs w:val="16"/>
        </w:rPr>
        <w:t xml:space="preserve">How we decide</w:t>
      </w:r>
    </w:p>
    <w:p>
      <w:pPr>
        <w:pStyle w:val="Body"/>
      </w:pPr>
      <w:r>
        <w:rPr>
          <w:b/>
          <w:color w:val="0E1525"/>
        </w:rPr>
        <w:t xml:space="preserve">One owner decides, after hearing the team. </w:t>
      </w:r>
      <w:r>
        <w:t xml:space="preserve">Fast and accountable. Each decision names an owner who gathers input, decides, and explains the call.</w:t>
      </w:r>
    </w:p>
    <w:p>
      <w:pPr>
        <w:pStyle w:val="Label"/>
      </w:pPr>
      <w:r>
        <w:rPr>
          <w:caps/>
          <w:spacing w:val="20"/>
          <w:color w:val="5B6472"/>
          <w:sz w:val="16"/>
          <w:szCs w:val="16"/>
        </w:rPr>
        <w:t xml:space="preserve">When we meet</w:t>
      </w:r>
    </w:p>
    <w:p>
      <w:pPr>
        <w:pStyle w:val="Bullet"/>
      </w:pPr>
      <w:r>
        <w:rPr>
          <w:b/>
          <w:color w:val="0E1525"/>
        </w:rPr>
        <w:t xml:space="preserve">Monday planning</w:t>
      </w:r>
      <w:r>
        <w:t xml:space="preserve">: 30 minutes: priorities and blockers</w:t>
      </w:r>
    </w:p>
    <w:p>
      <w:pPr>
        <w:pStyle w:val="Bullet"/>
      </w:pPr>
      <w:r>
        <w:rPr>
          <w:b/>
          <w:color w:val="0E1525"/>
        </w:rPr>
        <w:t xml:space="preserve">Friday review</w:t>
      </w:r>
      <w:r>
        <w:t xml:space="preserve">: 20 minutes: what shipped and what slipped</w:t>
      </w:r>
    </w:p>
    <w:p>
      <w:pPr>
        <w:pStyle w:val="Label"/>
      </w:pPr>
      <w:r>
        <w:rPr>
          <w:caps/>
          <w:spacing w:val="20"/>
          <w:color w:val="5B6472"/>
          <w:sz w:val="16"/>
          <w:szCs w:val="16"/>
        </w:rPr>
        <w:t xml:space="preserve">How we’ll know it’s working</w:t>
      </w:r>
    </w:p>
    <w:p>
      <w:pPr>
        <w:pStyle w:val="Bullet"/>
      </w:pPr>
      <w:r>
        <w:t xml:space="preserve">Every customer migrated by 28 March, with zero data loss</w:t>
      </w:r>
    </w:p>
    <w:p>
      <w:pPr>
        <w:pStyle w:val="Bullet"/>
      </w:pPr>
      <w:r>
        <w:t xml:space="preserve">No customer waits more than a day for an answer during cutover</w:t>
      </w:r>
    </w:p>
    <w:p>
      <w:pPr>
        <w:pStyle w:val="Bullet"/>
      </w:pPr>
      <w:r>
        <w:t xml:space="preserve">The post-project review scores our handover 8 out of 10 or better</w:t>
      </w:r>
    </w:p>
    <w:p>
      <w:pPr>
        <w:pStyle w:val="Body"/>
      </w:pPr>
      <w:r>
        <w:rPr>
          <w:b/>
          <w:color w:val="0E1525"/>
        </w:rPr>
        <w:t xml:space="preserve">Review: </w:t>
      </w:r>
      <w:r>
        <w:t xml:space="preserve">After the first month, then at every phase gate</w:t>
      </w:r>
    </w:p>
    <w:p>
      <w:pPr>
        <w:pStyle w:val="Label"/>
      </w:pPr>
      <w:r>
        <w:rPr>
          <w:caps/>
          <w:spacing w:val="20"/>
          <w:color w:val="5B6472"/>
          <w:sz w:val="16"/>
          <w:szCs w:val="16"/>
        </w:rPr>
        <w:t xml:space="preserve">Agreed by</w:t>
      </w:r>
    </w:p>
    <w:p>
      <w:pPr>
        <w:pStyle w:val="Body"/>
      </w:pPr>
      <w:r>
        <w:rPr>
          <w:color w:val="8A919C"/>
        </w:rPr>
        <w:t xml:space="preserve">__________________      __________________      __________________      Date: ____________</w:t>
      </w:r>
    </w:p>
    <w:sectPr>
      <w:pgSz w:w="11906" w:h="16838"/>
      <w:pgMar w:top="1000" w:right="1150" w:bottom="900" w:left="1150" w:header="500" w:footer="500" w:gutter="0"/>
    </w:sectPr>
  </w:body>
</w:document>
</file>

<file path=word/numbering.xml><?xml version="1.0" encoding="utf-8"?>
<w:numbering xmlns:w="http://schemas.openxmlformats.org/wordprocessingml/2006/main">
  <w:abstractNum w:abstractNumId="0">
    <w:multiLevelType w:val="hybridMultilevel"/>
    <w:lvl w:ilvl="0">
      <w:start w:val="1"/>
      <w:numFmt w:val="bullet"/>
      <w:lvlText w:val="•"/>
      <w:lvlJc w:val="left"/>
      <w:pPr>
        <w:ind w:left="360" w:hanging="260"/>
      </w:pPr>
      <w:rPr>
        <w:rFonts w:ascii="Calibri" w:hAnsi="Calibri"/>
        <w:color w:val="5B6472"/>
      </w:rPr>
    </w:lvl>
  </w:abstractNum>
  <w:num w:numId="1">
    <w:abstractNumId w:val="0"/>
  </w:num>
</w:numbering>
</file>

<file path=word/styles.xml><?xml version="1.0" encoding="utf-8"?>
<w:styles xmlns:w="http://schemas.openxmlformats.org/wordprocessingml/2006/main">
  <w:docDefaults>
    <w:rPrDefault>
      <w:rPr>
        <w:rFonts w:ascii="Calibri" w:hAnsi="Calibri" w:cs="Calibri"/>
        <w:sz w:val="21"/>
        <w:szCs w:val="21"/>
        <w:color w:val="304254"/>
        <w:lang w:val="en-GB"/>
      </w:rPr>
    </w:rPrDefault>
    <w:pPrDefault>
      <w:pPr>
        <w:spacing w:after="80" w:line="276" w:lineRule="auto"/>
      </w:pPr>
    </w:pPrDefault>
  </w:docDefaults>
  <w:style w:type="paragraph" w:default="1" w:styleId="Normal">
    <w:name w:val="Normal"/>
    <w:qFormat/>
  </w:style>
  <w:style w:type="paragraph" w:styleId="Title">
    <w:name w:val="Title"/>
    <w:basedOn w:val="Normal"/>
    <w:qFormat/>
    <w:pPr>
      <w:spacing w:before="0" w:after="200"/>
      <w:pBdr>
        <w:bottom w:val="single" w:sz="8" w:space="8" w:color="0E1525"/>
      </w:pBdr>
    </w:pPr>
    <w:rPr>
      <w:color w:val="0E1525"/>
      <w:sz w:val="48"/>
      <w:szCs w:val="48"/>
    </w:rPr>
  </w:style>
  <w:style w:type="paragraph" w:styleId="Label">
    <w:name w:val="Section label"/>
    <w:basedOn w:val="Normal"/>
    <w:qFormat/>
    <w:pPr>
      <w:keepNext/>
      <w:spacing w:before="260" w:after="70"/>
    </w:pPr>
    <w:rPr>
      <w:color w:val="5B6472"/>
      <w:sz w:val="16"/>
      <w:szCs w:val="16"/>
    </w:rPr>
  </w:style>
  <w:style w:type="paragraph" w:styleId="Body">
    <w:name w:val="Body"/>
    <w:basedOn w:val="Normal"/>
    <w:qFormat/>
    <w:pPr>
      <w:spacing w:after="90"/>
    </w:pPr>
    <w:rPr/>
  </w:style>
  <w:style w:type="paragraph" w:styleId="Bullet">
    <w:name w:val="Bullet"/>
    <w:basedOn w:val="Normal"/>
    <w:qFormat/>
    <w:pPr>
      <w:numPr>
        <w:ilvl w:val="0"/>
        <w:numId w:val="1"/>
      </w:numPr>
      <w:spacing w:after="50"/>
      <w:ind w:left="360" w:hanging="260"/>
    </w:pPr>
    <w:rPr/>
  </w:style>
  <w:style w:type="paragraph" w:styleId="Cell">
    <w:name w:val="Table cell"/>
    <w:basedOn w:val="Normal"/>
    <w:qFormat/>
    <w:pPr>
      <w:spacing w:after="0"/>
    </w:pPr>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s>
</file>